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EB62" w14:textId="77777777" w:rsidR="00FD4E8F" w:rsidRDefault="000137DB">
      <w:pPr>
        <w:pStyle w:val="Textbody"/>
        <w:snapToGrid w:val="0"/>
        <w:spacing w:line="460" w:lineRule="exact"/>
        <w:ind w:left="1561" w:hanging="1081"/>
        <w:jc w:val="center"/>
        <w:rPr>
          <w:rFonts w:ascii="標楷體" w:hAnsi="標楷體" w:cs="Times New Roman"/>
          <w:color w:val="000000"/>
          <w:sz w:val="40"/>
          <w:szCs w:val="40"/>
          <w:lang w:bidi="ar-SA"/>
        </w:rPr>
      </w:pPr>
      <w:bookmarkStart w:id="0" w:name="_Hlk24623852"/>
      <w:r>
        <w:rPr>
          <w:rFonts w:ascii="標楷體" w:hAnsi="標楷體" w:cs="Times New Roman"/>
          <w:color w:val="000000"/>
          <w:sz w:val="40"/>
          <w:szCs w:val="40"/>
          <w:lang w:bidi="ar-SA"/>
        </w:rPr>
        <w:t>家庭教育法施行細則修正條文</w:t>
      </w:r>
    </w:p>
    <w:p w14:paraId="56F6DA0E" w14:textId="77777777" w:rsidR="00FD4E8F" w:rsidRDefault="000137DB">
      <w:pPr>
        <w:pStyle w:val="Textbody"/>
        <w:snapToGrid w:val="0"/>
        <w:spacing w:line="460" w:lineRule="exact"/>
        <w:ind w:left="1561" w:hanging="1081"/>
        <w:jc w:val="center"/>
        <w:rPr>
          <w:rFonts w:ascii="標楷體" w:hAnsi="標楷體" w:cs="Times New Roman"/>
          <w:color w:val="000000"/>
          <w:sz w:val="20"/>
          <w:szCs w:val="20"/>
          <w:lang w:bidi="ar-SA"/>
        </w:rPr>
      </w:pPr>
      <w:r>
        <w:rPr>
          <w:rFonts w:ascii="標楷體" w:hAnsi="標楷體" w:cs="Times New Roman"/>
          <w:color w:val="000000"/>
          <w:sz w:val="20"/>
          <w:szCs w:val="20"/>
          <w:lang w:bidi="ar-SA"/>
        </w:rPr>
        <w:t>109</w:t>
      </w:r>
      <w:r>
        <w:rPr>
          <w:rFonts w:ascii="標楷體" w:hAnsi="標楷體" w:cs="Times New Roman"/>
          <w:color w:val="000000"/>
          <w:sz w:val="20"/>
          <w:szCs w:val="20"/>
          <w:lang w:bidi="ar-SA"/>
        </w:rPr>
        <w:t>年</w:t>
      </w:r>
      <w:r>
        <w:rPr>
          <w:rFonts w:ascii="標楷體" w:hAnsi="標楷體" w:cs="Times New Roman"/>
          <w:color w:val="000000"/>
          <w:sz w:val="20"/>
          <w:szCs w:val="20"/>
          <w:lang w:bidi="ar-SA"/>
        </w:rPr>
        <w:t>6</w:t>
      </w:r>
      <w:r>
        <w:rPr>
          <w:rFonts w:ascii="標楷體" w:hAnsi="標楷體" w:cs="Times New Roman"/>
          <w:color w:val="000000"/>
          <w:sz w:val="20"/>
          <w:szCs w:val="20"/>
          <w:lang w:bidi="ar-SA"/>
        </w:rPr>
        <w:t>月</w:t>
      </w:r>
      <w:r>
        <w:rPr>
          <w:rFonts w:ascii="標楷體" w:hAnsi="標楷體" w:cs="Times New Roman"/>
          <w:color w:val="000000"/>
          <w:sz w:val="20"/>
          <w:szCs w:val="20"/>
          <w:lang w:bidi="ar-SA"/>
        </w:rPr>
        <w:t>23</w:t>
      </w:r>
      <w:r>
        <w:rPr>
          <w:rFonts w:ascii="標楷體" w:hAnsi="標楷體" w:cs="Times New Roman"/>
          <w:color w:val="000000"/>
          <w:sz w:val="20"/>
          <w:szCs w:val="20"/>
          <w:lang w:bidi="ar-SA"/>
        </w:rPr>
        <w:t>日以</w:t>
      </w:r>
      <w:proofErr w:type="gramStart"/>
      <w:r>
        <w:rPr>
          <w:rFonts w:ascii="標楷體" w:hAnsi="標楷體" w:cs="Times New Roman"/>
          <w:color w:val="000000"/>
          <w:sz w:val="20"/>
          <w:szCs w:val="20"/>
          <w:lang w:bidi="ar-SA"/>
        </w:rPr>
        <w:t>臺教社</w:t>
      </w:r>
      <w:proofErr w:type="gramEnd"/>
      <w:r>
        <w:rPr>
          <w:rFonts w:ascii="標楷體" w:hAnsi="標楷體" w:cs="Times New Roman"/>
          <w:color w:val="000000"/>
          <w:sz w:val="20"/>
          <w:szCs w:val="20"/>
          <w:lang w:bidi="ar-SA"/>
        </w:rPr>
        <w:t>（二）字第</w:t>
      </w:r>
      <w:r>
        <w:rPr>
          <w:rFonts w:ascii="標楷體" w:hAnsi="標楷體" w:cs="Times New Roman"/>
          <w:color w:val="000000"/>
          <w:sz w:val="20"/>
          <w:szCs w:val="20"/>
          <w:lang w:bidi="ar-SA"/>
        </w:rPr>
        <w:t>1090086236B</w:t>
      </w:r>
      <w:r>
        <w:rPr>
          <w:rFonts w:ascii="標楷體" w:hAnsi="標楷體" w:cs="Times New Roman"/>
          <w:color w:val="000000"/>
          <w:sz w:val="20"/>
          <w:szCs w:val="20"/>
          <w:lang w:bidi="ar-SA"/>
        </w:rPr>
        <w:t>號令修正發布</w:t>
      </w:r>
    </w:p>
    <w:bookmarkEnd w:id="0"/>
    <w:p w14:paraId="5718218D" w14:textId="77777777" w:rsidR="00FD4E8F" w:rsidRDefault="000137DB">
      <w:pPr>
        <w:pStyle w:val="ab"/>
        <w:spacing w:line="460" w:lineRule="exact"/>
        <w:ind w:left="850" w:hanging="1304"/>
      </w:pPr>
      <w:r>
        <w:rPr>
          <w:rFonts w:ascii="標楷體" w:eastAsia="標楷體" w:hAnsi="標楷體"/>
          <w:color w:val="000000"/>
          <w:sz w:val="28"/>
        </w:rPr>
        <w:t xml:space="preserve">   </w:t>
      </w:r>
      <w:r>
        <w:rPr>
          <w:rFonts w:ascii="標楷體" w:eastAsia="標楷體" w:hAnsi="標楷體"/>
          <w:color w:val="000000"/>
          <w:sz w:val="28"/>
        </w:rPr>
        <w:t xml:space="preserve">第一條　　</w:t>
      </w:r>
      <w:r>
        <w:rPr>
          <w:rFonts w:ascii="標楷體" w:eastAsia="標楷體" w:hAnsi="標楷體"/>
          <w:sz w:val="28"/>
        </w:rPr>
        <w:t>本細則依家庭教育法（以下簡稱本法）第二十條規定訂定之</w:t>
      </w:r>
      <w:r>
        <w:rPr>
          <w:rFonts w:ascii="標楷體" w:eastAsia="標楷體" w:hAnsi="標楷體"/>
          <w:sz w:val="28"/>
        </w:rPr>
        <w:t xml:space="preserve">   </w:t>
      </w:r>
      <w:r>
        <w:rPr>
          <w:rFonts w:ascii="標楷體" w:eastAsia="標楷體" w:hAnsi="標楷體"/>
          <w:sz w:val="28"/>
        </w:rPr>
        <w:t>。</w:t>
      </w:r>
    </w:p>
    <w:p w14:paraId="53CC0F97" w14:textId="77777777" w:rsidR="00FD4E8F" w:rsidRDefault="000137DB">
      <w:pPr>
        <w:pStyle w:val="Textbody"/>
        <w:spacing w:line="460" w:lineRule="atLeast"/>
        <w:ind w:left="851" w:hanging="851"/>
      </w:pPr>
      <w:r>
        <w:rPr>
          <w:rFonts w:ascii="標楷體" w:hAnsi="標楷體"/>
          <w:color w:val="000000"/>
          <w:sz w:val="28"/>
        </w:rPr>
        <w:t>第二條</w:t>
      </w:r>
      <w:r>
        <w:rPr>
          <w:rFonts w:ascii="標楷體" w:hAnsi="標楷體"/>
          <w:color w:val="000000"/>
          <w:sz w:val="28"/>
        </w:rPr>
        <w:t xml:space="preserve">    </w:t>
      </w:r>
      <w:r>
        <w:rPr>
          <w:rFonts w:ascii="標楷體" w:hAnsi="標楷體"/>
          <w:color w:val="000000"/>
          <w:sz w:val="28"/>
        </w:rPr>
        <w:t>本法第二條所定家庭教育之範圍如下：</w:t>
      </w:r>
    </w:p>
    <w:p w14:paraId="567EE6E0" w14:textId="77777777" w:rsidR="00FD4E8F" w:rsidRDefault="000137DB">
      <w:pPr>
        <w:pStyle w:val="Textbody"/>
        <w:spacing w:line="460" w:lineRule="atLeast"/>
        <w:ind w:left="1985" w:hanging="567"/>
      </w:pPr>
      <w:r>
        <w:rPr>
          <w:color w:val="000000"/>
          <w:sz w:val="28"/>
        </w:rPr>
        <w:t>一、</w:t>
      </w:r>
      <w:r>
        <w:rPr>
          <w:sz w:val="28"/>
        </w:rPr>
        <w:t>親職教育：指增進父母或監護人了解應盡職責與教養子女或被監護人知能之教育活動及服務。</w:t>
      </w:r>
    </w:p>
    <w:p w14:paraId="5D6C031A" w14:textId="77777777" w:rsidR="00FD4E8F" w:rsidRDefault="000137DB">
      <w:pPr>
        <w:pStyle w:val="Textbody"/>
        <w:spacing w:line="460" w:lineRule="atLeast"/>
        <w:ind w:left="1985" w:hanging="567"/>
      </w:pPr>
      <w:r>
        <w:rPr>
          <w:color w:val="000000"/>
          <w:sz w:val="28"/>
        </w:rPr>
        <w:t>二、</w:t>
      </w:r>
      <w:proofErr w:type="gramStart"/>
      <w:r>
        <w:rPr>
          <w:sz w:val="28"/>
        </w:rPr>
        <w:t>子職教育</w:t>
      </w:r>
      <w:proofErr w:type="gramEnd"/>
      <w:r>
        <w:rPr>
          <w:sz w:val="28"/>
        </w:rPr>
        <w:t>：指增進子女或被監護人對父母或監護人應盡義務與應享權益之教育活動及服務。</w:t>
      </w:r>
    </w:p>
    <w:p w14:paraId="13BFF396" w14:textId="77777777" w:rsidR="00FD4E8F" w:rsidRDefault="000137DB">
      <w:pPr>
        <w:pStyle w:val="Textbody"/>
        <w:spacing w:line="460" w:lineRule="atLeast"/>
        <w:ind w:left="1985" w:hanging="567"/>
      </w:pPr>
      <w:r>
        <w:rPr>
          <w:color w:val="000000"/>
          <w:sz w:val="28"/>
        </w:rPr>
        <w:t>三、</w:t>
      </w:r>
      <w:r>
        <w:rPr>
          <w:rFonts w:ascii="標楷體" w:hAnsi="標楷體"/>
          <w:color w:val="000000"/>
          <w:sz w:val="28"/>
        </w:rPr>
        <w:t>性別教育：指增進家人有關性別生理、情感、認知與社會知能之教育活動及服務。</w:t>
      </w:r>
    </w:p>
    <w:p w14:paraId="45F06DA0" w14:textId="77777777" w:rsidR="00FD4E8F" w:rsidRDefault="000137DB">
      <w:pPr>
        <w:pStyle w:val="Textbody"/>
        <w:spacing w:line="460" w:lineRule="atLeast"/>
        <w:ind w:left="1985" w:hanging="567"/>
      </w:pPr>
      <w:r>
        <w:rPr>
          <w:color w:val="000000"/>
          <w:sz w:val="28"/>
        </w:rPr>
        <w:t>四、</w:t>
      </w:r>
      <w:r>
        <w:rPr>
          <w:rFonts w:ascii="標楷體" w:hAnsi="標楷體"/>
          <w:color w:val="000000"/>
          <w:sz w:val="28"/>
        </w:rPr>
        <w:t>婚姻教育：指增進婚前與婚後關係經營之教育活動及服務。</w:t>
      </w:r>
    </w:p>
    <w:p w14:paraId="33AA6C71" w14:textId="77777777" w:rsidR="00FD4E8F" w:rsidRDefault="000137DB">
      <w:pPr>
        <w:pStyle w:val="Textbody"/>
        <w:spacing w:line="460" w:lineRule="atLeast"/>
        <w:ind w:left="1985" w:hanging="567"/>
        <w:rPr>
          <w:rFonts w:ascii="標楷體" w:hAnsi="標楷體"/>
          <w:color w:val="000000"/>
          <w:sz w:val="28"/>
        </w:rPr>
      </w:pPr>
      <w:r>
        <w:rPr>
          <w:rFonts w:ascii="標楷體" w:hAnsi="標楷體"/>
          <w:color w:val="000000"/>
          <w:sz w:val="28"/>
        </w:rPr>
        <w:t>五、失親教育：指增進因故未能接受父母一方或雙方教養之未成年子女，對家人關係維繫與家庭生活管理知能之教育活動及服務。</w:t>
      </w:r>
    </w:p>
    <w:p w14:paraId="2C0EF24F" w14:textId="77777777" w:rsidR="00FD4E8F" w:rsidRDefault="000137DB">
      <w:pPr>
        <w:pStyle w:val="Textbody"/>
        <w:spacing w:line="460" w:lineRule="atLeast"/>
        <w:ind w:left="1985" w:hanging="567"/>
        <w:rPr>
          <w:rFonts w:ascii="標楷體" w:hAnsi="標楷體"/>
          <w:color w:val="000000"/>
          <w:sz w:val="28"/>
        </w:rPr>
      </w:pPr>
      <w:r>
        <w:rPr>
          <w:rFonts w:ascii="標楷體" w:hAnsi="標楷體"/>
          <w:color w:val="000000"/>
          <w:sz w:val="28"/>
        </w:rPr>
        <w:t>六、倫理教育：指增進家族成員相互尊重與關懷之教育活動及服務。</w:t>
      </w:r>
    </w:p>
    <w:p w14:paraId="54729092" w14:textId="77777777" w:rsidR="00FD4E8F" w:rsidRDefault="000137DB">
      <w:pPr>
        <w:pStyle w:val="Textbody"/>
        <w:spacing w:line="460" w:lineRule="atLeast"/>
        <w:ind w:left="1985" w:hanging="567"/>
        <w:rPr>
          <w:rFonts w:ascii="標楷體" w:hAnsi="標楷體"/>
          <w:color w:val="000000"/>
          <w:sz w:val="28"/>
        </w:rPr>
      </w:pPr>
      <w:r>
        <w:rPr>
          <w:rFonts w:ascii="標楷體" w:hAnsi="標楷體"/>
          <w:color w:val="000000"/>
          <w:sz w:val="28"/>
        </w:rPr>
        <w:t>七、資源管理教育：指增進個人、家庭、社會之資源運用與管理之教育活動及服務。</w:t>
      </w:r>
    </w:p>
    <w:p w14:paraId="4A212301" w14:textId="77777777" w:rsidR="00FD4E8F" w:rsidRDefault="000137DB">
      <w:pPr>
        <w:pStyle w:val="Textbody"/>
        <w:spacing w:line="460" w:lineRule="atLeast"/>
        <w:ind w:left="1985" w:hanging="567"/>
        <w:rPr>
          <w:rFonts w:ascii="標楷體" w:hAnsi="標楷體"/>
          <w:color w:val="000000"/>
          <w:sz w:val="28"/>
        </w:rPr>
      </w:pPr>
      <w:r>
        <w:rPr>
          <w:rFonts w:ascii="標楷體" w:hAnsi="標楷體"/>
          <w:color w:val="000000"/>
          <w:sz w:val="28"/>
        </w:rPr>
        <w:t>八、多元文化教育：指增進家族成員對多元文化理解及尊重之教育活動及服務。</w:t>
      </w:r>
    </w:p>
    <w:p w14:paraId="7448C1C4" w14:textId="77777777" w:rsidR="00FD4E8F" w:rsidRDefault="000137DB">
      <w:pPr>
        <w:pStyle w:val="Textbody"/>
        <w:spacing w:line="460" w:lineRule="atLeast"/>
        <w:ind w:left="1985" w:hanging="567"/>
        <w:rPr>
          <w:rFonts w:ascii="標楷體" w:hAnsi="標楷體"/>
          <w:color w:val="000000"/>
          <w:sz w:val="28"/>
        </w:rPr>
      </w:pPr>
      <w:r>
        <w:rPr>
          <w:rFonts w:ascii="標楷體" w:hAnsi="標楷體"/>
          <w:color w:val="000000"/>
          <w:sz w:val="28"/>
        </w:rPr>
        <w:t>九、情緒教育：指增進家人互動之情緒覺察、表達與管理之教育活動及服務。</w:t>
      </w:r>
    </w:p>
    <w:p w14:paraId="263E6554" w14:textId="77777777" w:rsidR="00FD4E8F" w:rsidRDefault="000137DB">
      <w:pPr>
        <w:pStyle w:val="Textbody"/>
        <w:spacing w:line="460" w:lineRule="atLeast"/>
        <w:ind w:left="1985" w:hanging="567"/>
        <w:rPr>
          <w:rFonts w:ascii="標楷體" w:hAnsi="標楷體"/>
          <w:color w:val="000000"/>
          <w:sz w:val="28"/>
        </w:rPr>
      </w:pPr>
      <w:r>
        <w:rPr>
          <w:rFonts w:ascii="標楷體" w:hAnsi="標楷體"/>
          <w:color w:val="000000"/>
          <w:sz w:val="28"/>
        </w:rPr>
        <w:t>十、人口教育：指增進婚姻、生育及家庭價值之教育宣導活動。</w:t>
      </w:r>
    </w:p>
    <w:p w14:paraId="42C21B5C" w14:textId="77777777" w:rsidR="00FD4E8F" w:rsidRDefault="000137DB">
      <w:pPr>
        <w:pStyle w:val="Textbody"/>
        <w:spacing w:line="460" w:lineRule="atLeast"/>
        <w:ind w:left="851" w:hanging="851"/>
      </w:pPr>
      <w:r>
        <w:rPr>
          <w:rFonts w:ascii="標楷體" w:hAnsi="標楷體"/>
          <w:color w:val="000000"/>
          <w:sz w:val="28"/>
        </w:rPr>
        <w:t>第三條</w:t>
      </w:r>
      <w:r>
        <w:rPr>
          <w:rFonts w:ascii="標楷體" w:hAnsi="標楷體"/>
          <w:color w:val="000000"/>
          <w:sz w:val="28"/>
        </w:rPr>
        <w:t xml:space="preserve">    </w:t>
      </w:r>
      <w:r>
        <w:rPr>
          <w:rFonts w:ascii="標楷體" w:hAnsi="標楷體"/>
          <w:sz w:val="28"/>
          <w:szCs w:val="28"/>
        </w:rPr>
        <w:t>本法所稱志願工作人員，指由推展家庭教育機關、機構、學校、法人及團體，依志願服務法相關規定召募、訓練及實習，並領有志願服務證者。</w:t>
      </w:r>
    </w:p>
    <w:p w14:paraId="2BA07C14" w14:textId="77777777" w:rsidR="00FD4E8F" w:rsidRDefault="000137DB">
      <w:pPr>
        <w:pStyle w:val="Textbody"/>
        <w:spacing w:line="460" w:lineRule="atLeast"/>
        <w:ind w:left="851" w:hanging="851"/>
      </w:pPr>
      <w:r>
        <w:rPr>
          <w:rFonts w:ascii="標楷體" w:hAnsi="標楷體"/>
          <w:color w:val="000000"/>
          <w:sz w:val="28"/>
        </w:rPr>
        <w:t>第四條</w:t>
      </w:r>
      <w:r>
        <w:rPr>
          <w:rFonts w:ascii="標楷體" w:hAnsi="標楷體"/>
          <w:color w:val="000000"/>
          <w:sz w:val="28"/>
        </w:rPr>
        <w:t xml:space="preserve">    </w:t>
      </w:r>
      <w:r>
        <w:rPr>
          <w:rFonts w:ascii="標楷體" w:hAnsi="標楷體"/>
          <w:color w:val="000000"/>
          <w:kern w:val="0"/>
          <w:sz w:val="28"/>
        </w:rPr>
        <w:t>本法第七條第二項</w:t>
      </w:r>
      <w:proofErr w:type="gramStart"/>
      <w:r>
        <w:rPr>
          <w:rFonts w:ascii="標楷體" w:hAnsi="標楷體"/>
          <w:color w:val="000000"/>
          <w:kern w:val="0"/>
          <w:sz w:val="28"/>
        </w:rPr>
        <w:t>所定進用</w:t>
      </w:r>
      <w:proofErr w:type="gramEnd"/>
      <w:r>
        <w:rPr>
          <w:rFonts w:ascii="標楷體" w:hAnsi="標楷體"/>
          <w:color w:val="000000"/>
          <w:kern w:val="0"/>
          <w:sz w:val="28"/>
        </w:rPr>
        <w:t>人員總數範圍，包括直轄市、縣（市）主管機關進用之家庭教育中心主任及專任於該中心實際執</w:t>
      </w:r>
      <w:r>
        <w:rPr>
          <w:rFonts w:ascii="標楷體" w:hAnsi="標楷體"/>
          <w:color w:val="000000"/>
          <w:kern w:val="0"/>
          <w:sz w:val="28"/>
        </w:rPr>
        <w:lastRenderedPageBreak/>
        <w:t>行本法第七條第一項各款事項之編制內人員與非編制內之聘用、約用、僱用、調用及臨時人員總合。</w:t>
      </w:r>
    </w:p>
    <w:p w14:paraId="46C4D512" w14:textId="77777777" w:rsidR="00FD4E8F" w:rsidRDefault="000137DB">
      <w:pPr>
        <w:pStyle w:val="Textbody"/>
        <w:spacing w:line="460" w:lineRule="atLeast"/>
        <w:ind w:left="851" w:hanging="851"/>
      </w:pPr>
      <w:r>
        <w:rPr>
          <w:color w:val="000000"/>
          <w:sz w:val="28"/>
        </w:rPr>
        <w:t>第五條</w:t>
      </w:r>
      <w:r>
        <w:rPr>
          <w:rFonts w:ascii="標楷體" w:hAnsi="標楷體"/>
          <w:color w:val="000000"/>
          <w:sz w:val="28"/>
        </w:rPr>
        <w:t xml:space="preserve">    </w:t>
      </w:r>
      <w:r>
        <w:rPr>
          <w:color w:val="000000"/>
          <w:sz w:val="28"/>
        </w:rPr>
        <w:t>本法第九條第二項至第四項家庭教育專業研習，其內容如下：</w:t>
      </w:r>
    </w:p>
    <w:p w14:paraId="082EEA29" w14:textId="77777777" w:rsidR="00FD4E8F" w:rsidRDefault="000137DB">
      <w:pPr>
        <w:pStyle w:val="Textbody"/>
        <w:spacing w:line="460" w:lineRule="atLeast"/>
        <w:ind w:left="1985" w:hanging="567"/>
      </w:pPr>
      <w:r>
        <w:rPr>
          <w:rFonts w:ascii="標楷體" w:hAnsi="標楷體"/>
          <w:sz w:val="28"/>
          <w:szCs w:val="28"/>
        </w:rPr>
        <w:t>一</w:t>
      </w:r>
      <w:r>
        <w:rPr>
          <w:rFonts w:ascii="新細明體" w:eastAsia="新細明體" w:hAnsi="新細明體"/>
          <w:sz w:val="28"/>
          <w:szCs w:val="28"/>
        </w:rPr>
        <w:t>、</w:t>
      </w:r>
      <w:r>
        <w:rPr>
          <w:rFonts w:ascii="標楷體" w:hAnsi="標楷體"/>
          <w:sz w:val="28"/>
          <w:szCs w:val="28"/>
        </w:rPr>
        <w:t>第二條各款家庭教育之理論及實務。</w:t>
      </w:r>
    </w:p>
    <w:p w14:paraId="0AD9D97A" w14:textId="77777777" w:rsidR="00FD4E8F" w:rsidRDefault="000137DB">
      <w:pPr>
        <w:pStyle w:val="Textbody"/>
        <w:spacing w:line="460" w:lineRule="atLeast"/>
        <w:ind w:left="1985" w:hanging="567"/>
      </w:pPr>
      <w:r>
        <w:rPr>
          <w:rFonts w:ascii="標楷體" w:hAnsi="標楷體"/>
          <w:sz w:val="28"/>
          <w:szCs w:val="28"/>
        </w:rPr>
        <w:t>二</w:t>
      </w:r>
      <w:r>
        <w:rPr>
          <w:rFonts w:ascii="新細明體" w:eastAsia="新細明體" w:hAnsi="新細明體"/>
          <w:sz w:val="28"/>
          <w:szCs w:val="28"/>
        </w:rPr>
        <w:t>、</w:t>
      </w:r>
      <w:r>
        <w:rPr>
          <w:rFonts w:ascii="標楷體" w:hAnsi="標楷體"/>
          <w:sz w:val="28"/>
          <w:szCs w:val="28"/>
        </w:rPr>
        <w:t>家庭教育法令。</w:t>
      </w:r>
    </w:p>
    <w:p w14:paraId="6278C1BC" w14:textId="77777777" w:rsidR="00FD4E8F" w:rsidRDefault="000137DB">
      <w:pPr>
        <w:pStyle w:val="Textbody"/>
        <w:spacing w:line="460" w:lineRule="atLeast"/>
        <w:ind w:left="1985" w:hanging="567"/>
      </w:pPr>
      <w:r>
        <w:rPr>
          <w:rFonts w:ascii="標楷體" w:hAnsi="標楷體"/>
          <w:sz w:val="28"/>
          <w:szCs w:val="28"/>
        </w:rPr>
        <w:t>三</w:t>
      </w:r>
      <w:r>
        <w:rPr>
          <w:rFonts w:ascii="新細明體" w:eastAsia="新細明體" w:hAnsi="新細明體"/>
          <w:sz w:val="28"/>
          <w:szCs w:val="28"/>
        </w:rPr>
        <w:t>、</w:t>
      </w:r>
      <w:r>
        <w:rPr>
          <w:rFonts w:ascii="標楷體" w:hAnsi="標楷體"/>
          <w:sz w:val="28"/>
          <w:szCs w:val="28"/>
        </w:rPr>
        <w:t>執行家庭教育推展工作所需具備之專業倫理。</w:t>
      </w:r>
    </w:p>
    <w:p w14:paraId="4DAD2DC6" w14:textId="77777777" w:rsidR="00FD4E8F" w:rsidRDefault="000137DB">
      <w:pPr>
        <w:pStyle w:val="Textbody"/>
        <w:spacing w:line="460" w:lineRule="atLeast"/>
        <w:ind w:left="851" w:hanging="851"/>
      </w:pPr>
      <w:r>
        <w:rPr>
          <w:rFonts w:ascii="標楷體" w:hAnsi="標楷體"/>
          <w:color w:val="000000"/>
          <w:sz w:val="28"/>
          <w:szCs w:val="28"/>
        </w:rPr>
        <w:t>第六條</w:t>
      </w:r>
      <w:r>
        <w:rPr>
          <w:rFonts w:ascii="標楷體" w:hAnsi="標楷體"/>
          <w:color w:val="000000"/>
          <w:sz w:val="28"/>
        </w:rPr>
        <w:t xml:space="preserve">    </w:t>
      </w:r>
      <w:r>
        <w:rPr>
          <w:rFonts w:ascii="標楷體" w:hAnsi="標楷體"/>
          <w:color w:val="000000"/>
          <w:sz w:val="28"/>
          <w:szCs w:val="28"/>
        </w:rPr>
        <w:t>直轄市、縣（市）主管機關應擬訂推展家庭教育之機關、機構、學校、法人及團體之人員及志願工作人員之進修課程或訓練計畫，於每年度提送家庭教育諮詢委員會報告，並於年度結束二個月前，將次一年度進修課程或訓練計畫報中央主管機關核定。</w:t>
      </w:r>
    </w:p>
    <w:p w14:paraId="07C1F507" w14:textId="77777777" w:rsidR="00FD4E8F" w:rsidRDefault="000137DB">
      <w:pPr>
        <w:pStyle w:val="Textbody"/>
        <w:spacing w:line="460" w:lineRule="exact"/>
        <w:ind w:left="862" w:firstLine="546"/>
        <w:rPr>
          <w:rFonts w:ascii="標楷體" w:hAnsi="標楷體"/>
          <w:color w:val="000000"/>
          <w:sz w:val="28"/>
          <w:szCs w:val="28"/>
        </w:rPr>
      </w:pPr>
      <w:r>
        <w:rPr>
          <w:rFonts w:ascii="標楷體" w:hAnsi="標楷體"/>
          <w:color w:val="000000"/>
          <w:sz w:val="28"/>
          <w:szCs w:val="28"/>
        </w:rPr>
        <w:t>前項進修課程或訓練計畫涉及課程架構變更時，應報中央主管機關核定。</w:t>
      </w:r>
    </w:p>
    <w:p w14:paraId="36E1B6D4" w14:textId="77777777" w:rsidR="00FD4E8F" w:rsidRDefault="000137DB">
      <w:pPr>
        <w:pStyle w:val="Textbody"/>
        <w:spacing w:line="460" w:lineRule="atLeast"/>
        <w:ind w:left="851" w:hanging="851"/>
        <w:rPr>
          <w:rFonts w:ascii="標楷體" w:hAnsi="標楷體"/>
          <w:color w:val="000000"/>
          <w:sz w:val="28"/>
          <w:szCs w:val="28"/>
        </w:rPr>
      </w:pPr>
      <w:r>
        <w:rPr>
          <w:rFonts w:ascii="標楷體" w:hAnsi="標楷體"/>
          <w:color w:val="000000"/>
          <w:sz w:val="28"/>
          <w:szCs w:val="28"/>
        </w:rPr>
        <w:t>第七條</w:t>
      </w:r>
      <w:bookmarkStart w:id="1" w:name="_Hlk43466850"/>
      <w:r>
        <w:rPr>
          <w:rFonts w:ascii="標楷體" w:hAnsi="標楷體"/>
          <w:color w:val="000000"/>
          <w:sz w:val="28"/>
          <w:szCs w:val="28"/>
        </w:rPr>
        <w:t xml:space="preserve">    </w:t>
      </w:r>
      <w:bookmarkEnd w:id="1"/>
      <w:r>
        <w:rPr>
          <w:rFonts w:ascii="標楷體" w:hAnsi="標楷體"/>
          <w:color w:val="000000"/>
          <w:sz w:val="28"/>
          <w:szCs w:val="28"/>
        </w:rPr>
        <w:t>本法第十二條第二項所定家庭教育之相關資料內容，包括親職教養與婚姻經營問題之預防教育及宣導。</w:t>
      </w:r>
    </w:p>
    <w:p w14:paraId="0C2FC014" w14:textId="77777777" w:rsidR="00FD4E8F" w:rsidRDefault="000137DB">
      <w:pPr>
        <w:pStyle w:val="Textbody"/>
        <w:spacing w:line="460" w:lineRule="atLeast"/>
        <w:ind w:left="851" w:hanging="851"/>
      </w:pPr>
      <w:r>
        <w:rPr>
          <w:sz w:val="28"/>
          <w:szCs w:val="28"/>
        </w:rPr>
        <w:t>第八條</w:t>
      </w:r>
      <w:r>
        <w:rPr>
          <w:rFonts w:ascii="標楷體" w:hAnsi="標楷體"/>
          <w:color w:val="000000"/>
          <w:sz w:val="28"/>
          <w:szCs w:val="28"/>
        </w:rPr>
        <w:t xml:space="preserve">    </w:t>
      </w:r>
      <w:r>
        <w:rPr>
          <w:sz w:val="28"/>
          <w:szCs w:val="28"/>
        </w:rPr>
        <w:t>高級中等以下學校依本法第十三條第一項規定，在正式課程外實施之家庭教育課程及活動，應依學生</w:t>
      </w:r>
      <w:r>
        <w:rPr>
          <w:sz w:val="28"/>
          <w:szCs w:val="28"/>
        </w:rPr>
        <w:t>身心發展、家庭狀況、學校人力、物力，結合社區資源為之，並於學校行事曆載明。</w:t>
      </w:r>
    </w:p>
    <w:p w14:paraId="1EE889AC" w14:textId="77777777" w:rsidR="00FD4E8F" w:rsidRDefault="000137DB">
      <w:pPr>
        <w:pStyle w:val="Textbody"/>
        <w:spacing w:line="460" w:lineRule="atLeast"/>
        <w:ind w:left="851" w:hanging="851"/>
      </w:pPr>
      <w:r>
        <w:rPr>
          <w:sz w:val="28"/>
          <w:szCs w:val="28"/>
        </w:rPr>
        <w:t>第九條</w:t>
      </w:r>
      <w:r>
        <w:rPr>
          <w:rFonts w:ascii="標楷體" w:hAnsi="標楷體"/>
          <w:color w:val="000000"/>
          <w:sz w:val="28"/>
          <w:szCs w:val="28"/>
        </w:rPr>
        <w:t xml:space="preserve">    </w:t>
      </w:r>
      <w:r>
        <w:rPr>
          <w:sz w:val="28"/>
          <w:szCs w:val="28"/>
        </w:rPr>
        <w:t>各級主管機關依本法第十三條第二項規定，鼓勵師資培育之大學、空中大學及其他大專校院辦理家庭教育相關課程，得以獎勵或補助方式為之。</w:t>
      </w:r>
    </w:p>
    <w:p w14:paraId="59F64D1F" w14:textId="77777777" w:rsidR="00FD4E8F" w:rsidRDefault="000137DB">
      <w:pPr>
        <w:pStyle w:val="Textbody"/>
        <w:spacing w:line="460" w:lineRule="atLeast"/>
        <w:ind w:left="737" w:hanging="737"/>
        <w:rPr>
          <w:rFonts w:ascii="標楷體" w:hAnsi="標楷體"/>
          <w:color w:val="000000"/>
          <w:sz w:val="28"/>
          <w:szCs w:val="28"/>
        </w:rPr>
      </w:pPr>
      <w:r>
        <w:rPr>
          <w:rFonts w:ascii="標楷體" w:hAnsi="標楷體"/>
          <w:color w:val="000000"/>
          <w:sz w:val="28"/>
          <w:szCs w:val="28"/>
        </w:rPr>
        <w:t>第十條</w:t>
      </w:r>
      <w:r>
        <w:rPr>
          <w:rFonts w:ascii="標楷體" w:hAnsi="標楷體"/>
          <w:color w:val="000000"/>
          <w:sz w:val="28"/>
          <w:szCs w:val="28"/>
        </w:rPr>
        <w:t xml:space="preserve">    </w:t>
      </w:r>
      <w:r>
        <w:rPr>
          <w:rFonts w:ascii="標楷體" w:hAnsi="標楷體"/>
          <w:color w:val="000000"/>
          <w:sz w:val="28"/>
          <w:szCs w:val="28"/>
        </w:rPr>
        <w:t>兒童及少年福利與權益保障法、家庭暴力防治法、少年事件</w:t>
      </w:r>
      <w:r>
        <w:rPr>
          <w:rFonts w:ascii="標楷體" w:hAnsi="標楷體"/>
          <w:color w:val="000000"/>
          <w:sz w:val="28"/>
          <w:szCs w:val="28"/>
        </w:rPr>
        <w:t xml:space="preserve"> </w:t>
      </w:r>
      <w:r>
        <w:rPr>
          <w:rFonts w:ascii="標楷體" w:hAnsi="標楷體"/>
          <w:color w:val="000000"/>
          <w:sz w:val="28"/>
          <w:szCs w:val="28"/>
        </w:rPr>
        <w:t>處理法、老人福利法、身心障礙者權益保障法或其他法律定有應實施家庭處遇計畫或</w:t>
      </w:r>
      <w:proofErr w:type="gramStart"/>
      <w:r>
        <w:rPr>
          <w:rFonts w:ascii="標楷體" w:hAnsi="標楷體"/>
          <w:color w:val="000000"/>
          <w:sz w:val="28"/>
          <w:szCs w:val="28"/>
        </w:rPr>
        <w:t>強制性親職</w:t>
      </w:r>
      <w:proofErr w:type="gramEnd"/>
      <w:r>
        <w:rPr>
          <w:rFonts w:ascii="標楷體" w:hAnsi="標楷體"/>
          <w:color w:val="000000"/>
          <w:sz w:val="28"/>
          <w:szCs w:val="28"/>
        </w:rPr>
        <w:t>教育之規定者，不適用本法第十六條規定。</w:t>
      </w:r>
    </w:p>
    <w:p w14:paraId="58F97C98" w14:textId="77777777" w:rsidR="00FD4E8F" w:rsidRDefault="000137DB">
      <w:pPr>
        <w:pStyle w:val="Textbody"/>
        <w:spacing w:line="460" w:lineRule="exact"/>
        <w:ind w:left="862" w:firstLine="546"/>
        <w:rPr>
          <w:rFonts w:ascii="標楷體" w:hAnsi="標楷體"/>
          <w:color w:val="000000"/>
          <w:sz w:val="28"/>
          <w:szCs w:val="28"/>
        </w:rPr>
      </w:pPr>
      <w:r>
        <w:rPr>
          <w:rFonts w:ascii="標楷體" w:hAnsi="標楷體"/>
          <w:color w:val="000000"/>
          <w:sz w:val="28"/>
          <w:szCs w:val="28"/>
        </w:rPr>
        <w:t>前項規定外，社政主管機關於執行職務時認有家庭教育需求者，應經社政主管機關人員訪視後評估決定之。</w:t>
      </w:r>
    </w:p>
    <w:p w14:paraId="762DC75B" w14:textId="77777777" w:rsidR="00FD4E8F" w:rsidRDefault="000137DB">
      <w:pPr>
        <w:pStyle w:val="Textbody"/>
        <w:spacing w:line="460" w:lineRule="exact"/>
        <w:ind w:left="862" w:firstLine="546"/>
        <w:rPr>
          <w:rFonts w:ascii="標楷體" w:hAnsi="標楷體"/>
          <w:color w:val="000000"/>
          <w:sz w:val="28"/>
          <w:szCs w:val="28"/>
        </w:rPr>
      </w:pPr>
      <w:r>
        <w:rPr>
          <w:rFonts w:ascii="標楷體" w:hAnsi="標楷體"/>
          <w:color w:val="000000"/>
          <w:sz w:val="28"/>
          <w:szCs w:val="28"/>
        </w:rPr>
        <w:t>前項有家庭教育需求者之評估基準，由中央主管機關會商中央社政主管機關訂定公告之。</w:t>
      </w:r>
    </w:p>
    <w:p w14:paraId="5545DCBA" w14:textId="77777777" w:rsidR="00FD4E8F" w:rsidRDefault="000137DB">
      <w:pPr>
        <w:pStyle w:val="Textbody"/>
        <w:spacing w:line="460" w:lineRule="atLeast"/>
        <w:ind w:left="480" w:hanging="480"/>
      </w:pPr>
      <w:r>
        <w:rPr>
          <w:rFonts w:ascii="標楷體" w:hAnsi="標楷體"/>
          <w:sz w:val="28"/>
          <w:szCs w:val="28"/>
        </w:rPr>
        <w:t>第十一條</w:t>
      </w:r>
      <w:r>
        <w:rPr>
          <w:rFonts w:ascii="標楷體" w:hAnsi="標楷體"/>
          <w:color w:val="000000"/>
          <w:sz w:val="28"/>
          <w:szCs w:val="28"/>
        </w:rPr>
        <w:t xml:space="preserve">    </w:t>
      </w:r>
      <w:r>
        <w:rPr>
          <w:rFonts w:ascii="標楷體" w:hAnsi="標楷體"/>
          <w:sz w:val="28"/>
          <w:szCs w:val="28"/>
        </w:rPr>
        <w:t>本細則自發布日施行。</w:t>
      </w:r>
    </w:p>
    <w:p w14:paraId="7431B059" w14:textId="77777777" w:rsidR="00FD4E8F" w:rsidRDefault="00FD4E8F">
      <w:pPr>
        <w:pStyle w:val="14PT--"/>
        <w:rPr>
          <w:szCs w:val="28"/>
        </w:rPr>
      </w:pPr>
    </w:p>
    <w:sectPr w:rsidR="00FD4E8F">
      <w:pgSz w:w="11906" w:h="16838"/>
      <w:pgMar w:top="1417" w:right="141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E3C6" w14:textId="77777777" w:rsidR="000137DB" w:rsidRDefault="000137DB">
      <w:r>
        <w:separator/>
      </w:r>
    </w:p>
  </w:endnote>
  <w:endnote w:type="continuationSeparator" w:id="0">
    <w:p w14:paraId="69863304" w14:textId="77777777" w:rsidR="000137DB" w:rsidRDefault="0001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7421" w14:textId="77777777" w:rsidR="000137DB" w:rsidRDefault="000137DB">
      <w:r>
        <w:rPr>
          <w:color w:val="000000"/>
        </w:rPr>
        <w:separator/>
      </w:r>
    </w:p>
  </w:footnote>
  <w:footnote w:type="continuationSeparator" w:id="0">
    <w:p w14:paraId="0AB356F5" w14:textId="77777777" w:rsidR="000137DB" w:rsidRDefault="00013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41F"/>
    <w:multiLevelType w:val="multilevel"/>
    <w:tmpl w:val="7AEAC192"/>
    <w:styleLink w:val="16PT--11AAa"/>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japaneseCounting"/>
      <w:lvlText w:val="(%7)"/>
      <w:lvlJc w:val="left"/>
      <w:rPr>
        <w:sz w:val="32"/>
      </w:rPr>
    </w:lvl>
    <w:lvl w:ilvl="7">
      <w:start w:val="1"/>
      <w:numFmt w:val="japaneseCounting"/>
      <w:lvlText w:val="(%8)"/>
      <w:lvlJc w:val="left"/>
      <w:rPr>
        <w:sz w:val="32"/>
      </w:rPr>
    </w:lvl>
    <w:lvl w:ilvl="8">
      <w:start w:val="1"/>
      <w:numFmt w:val="japaneseCounting"/>
      <w:lvlText w:val="(%9)"/>
      <w:lvlJc w:val="left"/>
      <w:rPr>
        <w:sz w:val="32"/>
      </w:rPr>
    </w:lvl>
  </w:abstractNum>
  <w:abstractNum w:abstractNumId="1" w15:restartNumberingAfterBreak="0">
    <w:nsid w:val="0139082A"/>
    <w:multiLevelType w:val="multilevel"/>
    <w:tmpl w:val="A89E46D0"/>
    <w:styleLink w:val="Numbering51"/>
    <w:lvl w:ilvl="0">
      <w:start w:val="1"/>
      <w:numFmt w:val="decimal"/>
      <w:lvlText w:val="%1."/>
      <w:lvlJc w:val="left"/>
    </w:lvl>
    <w:lvl w:ilvl="1">
      <w:start w:val="2"/>
      <w:numFmt w:val="decimal"/>
      <w:lvlText w:val="%1.%2."/>
      <w:lvlJc w:val="left"/>
    </w:lvl>
    <w:lvl w:ilvl="2">
      <w:start w:val="3"/>
      <w:numFmt w:val="lowerLetter"/>
      <w:lvlText w:val="%3)"/>
      <w:lvlJc w:val="left"/>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15:restartNumberingAfterBreak="0">
    <w:nsid w:val="0E325828"/>
    <w:multiLevelType w:val="multilevel"/>
    <w:tmpl w:val="997EF360"/>
    <w:styleLink w:val="18PT--11AAa"/>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3" w15:restartNumberingAfterBreak="0">
    <w:nsid w:val="1190689B"/>
    <w:multiLevelType w:val="multilevel"/>
    <w:tmpl w:val="BD529E4E"/>
    <w:styleLink w:val="14PT--11AA"/>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4" w15:restartNumberingAfterBreak="0">
    <w:nsid w:val="13C46F53"/>
    <w:multiLevelType w:val="multilevel"/>
    <w:tmpl w:val="3928080A"/>
    <w:styleLink w:val="List2"/>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 w15:restartNumberingAfterBreak="0">
    <w:nsid w:val="147A371D"/>
    <w:multiLevelType w:val="multilevel"/>
    <w:tmpl w:val="344E0540"/>
    <w:styleLink w:val="16PT--11AAaa"/>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numFmt w:val="bullet"/>
      <w:lvlText w:val="•"/>
      <w:lvlJc w:val="left"/>
      <w:rPr>
        <w:sz w:val="32"/>
      </w:rPr>
    </w:lvl>
    <w:lvl w:ilvl="7">
      <w:numFmt w:val="bullet"/>
      <w:lvlText w:val="•"/>
      <w:lvlJc w:val="left"/>
      <w:rPr>
        <w:sz w:val="32"/>
      </w:rPr>
    </w:lvl>
    <w:lvl w:ilvl="8">
      <w:numFmt w:val="bullet"/>
      <w:lvlText w:val="•"/>
      <w:lvlJc w:val="left"/>
      <w:rPr>
        <w:sz w:val="32"/>
      </w:rPr>
    </w:lvl>
  </w:abstractNum>
  <w:abstractNum w:abstractNumId="6" w15:restartNumberingAfterBreak="0">
    <w:nsid w:val="16D06181"/>
    <w:multiLevelType w:val="multilevel"/>
    <w:tmpl w:val="9E48A85A"/>
    <w:styleLink w:val="List1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7" w15:restartNumberingAfterBreak="0">
    <w:nsid w:val="1F3326D4"/>
    <w:multiLevelType w:val="multilevel"/>
    <w:tmpl w:val="785E09EE"/>
    <w:styleLink w:val="14PT--11A"/>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ideographLegalTraditional"/>
      <w:lvlText w:val="%7、"/>
      <w:lvlJc w:val="left"/>
    </w:lvl>
    <w:lvl w:ilvl="7">
      <w:start w:val="1"/>
      <w:numFmt w:val="ideographLegalTraditional"/>
      <w:lvlText w:val="%8、"/>
      <w:lvlJc w:val="left"/>
    </w:lvl>
    <w:lvl w:ilvl="8">
      <w:start w:val="1"/>
      <w:numFmt w:val="ideographLegalTraditional"/>
      <w:lvlText w:val="%9、"/>
      <w:lvlJc w:val="left"/>
    </w:lvl>
  </w:abstractNum>
  <w:abstractNum w:abstractNumId="8" w15:restartNumberingAfterBreak="0">
    <w:nsid w:val="20B200A8"/>
    <w:multiLevelType w:val="multilevel"/>
    <w:tmpl w:val="B58EA1C4"/>
    <w:styleLink w:val="14PT--AAaa"/>
    <w:lvl w:ilvl="0">
      <w:start w:val="1"/>
      <w:numFmt w:val="decimalEnclosedCircle"/>
      <w:lvlText w:val="%1"/>
      <w:lvlJc w:val="left"/>
    </w:lvl>
    <w:lvl w:ilvl="1">
      <w:start w:val="1"/>
      <w:numFmt w:val="upperLetter"/>
      <w:lvlText w:val="%2."/>
      <w:lvlJc w:val="left"/>
    </w:lvl>
    <w:lvl w:ilvl="2">
      <w:start w:val="1"/>
      <w:numFmt w:val="upperLetter"/>
      <w:lvlText w:val="(%3)"/>
      <w:lvlJc w:val="left"/>
    </w:lvl>
    <w:lvl w:ilvl="3">
      <w:start w:val="1"/>
      <w:numFmt w:val="none"/>
      <w:lvlText w:val="%4"/>
      <w:lvlJc w:val="left"/>
    </w:lvl>
    <w:lvl w:ilvl="4">
      <w:start w:val="1"/>
      <w:numFmt w:val="lowerLetter"/>
      <w:lvlText w:val="%5."/>
      <w:lvlJc w:val="left"/>
    </w:lvl>
    <w:lvl w:ilvl="5">
      <w:start w:val="1"/>
      <w:numFmt w:val="lowerLetter"/>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1476704"/>
    <w:multiLevelType w:val="multilevel"/>
    <w:tmpl w:val="AF0C1372"/>
    <w:styleLink w:val="14PT--11AA0"/>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1DC34C2"/>
    <w:multiLevelType w:val="multilevel"/>
    <w:tmpl w:val="5BE4B3EC"/>
    <w:styleLink w:val="16PT--11AAaa0"/>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11" w15:restartNumberingAfterBreak="0">
    <w:nsid w:val="23D727D1"/>
    <w:multiLevelType w:val="multilevel"/>
    <w:tmpl w:val="4FEED972"/>
    <w:styleLink w:val="18PT--11AAa0"/>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12" w15:restartNumberingAfterBreak="0">
    <w:nsid w:val="241B6554"/>
    <w:multiLevelType w:val="multilevel"/>
    <w:tmpl w:val="4E38342E"/>
    <w:styleLink w:val="14PT--11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13" w15:restartNumberingAfterBreak="0">
    <w:nsid w:val="25EC07FB"/>
    <w:multiLevelType w:val="multilevel"/>
    <w:tmpl w:val="CC986378"/>
    <w:styleLink w:val="14PT--11A0"/>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BB44753"/>
    <w:multiLevelType w:val="multilevel"/>
    <w:tmpl w:val="DBE44E2C"/>
    <w:styleLink w:val="16PT--11A"/>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15" w15:restartNumberingAfterBreak="0">
    <w:nsid w:val="32273D2F"/>
    <w:multiLevelType w:val="multilevel"/>
    <w:tmpl w:val="D560412C"/>
    <w:styleLink w:val="List5"/>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6" w15:restartNumberingAfterBreak="0">
    <w:nsid w:val="35B93064"/>
    <w:multiLevelType w:val="multilevel"/>
    <w:tmpl w:val="444ECBE6"/>
    <w:styleLink w:val="14PT--11AAaa"/>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600507F"/>
    <w:multiLevelType w:val="multilevel"/>
    <w:tmpl w:val="C0701CCE"/>
    <w:styleLink w:val="16PT--11A0"/>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ideographLegalTraditional"/>
      <w:lvlText w:val="%7、"/>
      <w:lvlJc w:val="left"/>
      <w:rPr>
        <w:sz w:val="32"/>
      </w:rPr>
    </w:lvl>
    <w:lvl w:ilvl="7">
      <w:start w:val="1"/>
      <w:numFmt w:val="ideographLegalTraditional"/>
      <w:lvlText w:val="%8、"/>
      <w:lvlJc w:val="left"/>
      <w:rPr>
        <w:sz w:val="32"/>
      </w:rPr>
    </w:lvl>
    <w:lvl w:ilvl="8">
      <w:start w:val="1"/>
      <w:numFmt w:val="ideographLegalTraditional"/>
      <w:lvlText w:val="%9、"/>
      <w:lvlJc w:val="left"/>
      <w:rPr>
        <w:sz w:val="32"/>
      </w:rPr>
    </w:lvl>
  </w:abstractNum>
  <w:abstractNum w:abstractNumId="18" w15:restartNumberingAfterBreak="0">
    <w:nsid w:val="3B2E15D5"/>
    <w:multiLevelType w:val="multilevel"/>
    <w:tmpl w:val="5E7C1FA6"/>
    <w:styleLink w:val="12PT--11A"/>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19" w15:restartNumberingAfterBreak="0">
    <w:nsid w:val="3C27629E"/>
    <w:multiLevelType w:val="multilevel"/>
    <w:tmpl w:val="030AFC52"/>
    <w:styleLink w:val="18PT--11A"/>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20" w15:restartNumberingAfterBreak="0">
    <w:nsid w:val="3E8B21CF"/>
    <w:multiLevelType w:val="multilevel"/>
    <w:tmpl w:val="84F6625C"/>
    <w:styleLink w:val="18PT--11A0"/>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21" w15:restartNumberingAfterBreak="0">
    <w:nsid w:val="3EAD3174"/>
    <w:multiLevelType w:val="multilevel"/>
    <w:tmpl w:val="C8307444"/>
    <w:styleLink w:val="12PT--11AAaa"/>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22" w15:restartNumberingAfterBreak="0">
    <w:nsid w:val="404C5DE4"/>
    <w:multiLevelType w:val="multilevel"/>
    <w:tmpl w:val="8D9AF736"/>
    <w:styleLink w:val="16PT--11AAa0"/>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23" w15:restartNumberingAfterBreak="0">
    <w:nsid w:val="43491077"/>
    <w:multiLevelType w:val="multilevel"/>
    <w:tmpl w:val="A08A4192"/>
    <w:styleLink w:val="12PT--11AAaa0"/>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abstractNum w:abstractNumId="24" w15:restartNumberingAfterBreak="0">
    <w:nsid w:val="46AA1E23"/>
    <w:multiLevelType w:val="multilevel"/>
    <w:tmpl w:val="D4C2C036"/>
    <w:styleLink w:val="List4"/>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5" w15:restartNumberingAfterBreak="0">
    <w:nsid w:val="4A9E5437"/>
    <w:multiLevelType w:val="multilevel"/>
    <w:tmpl w:val="FCBEAFCC"/>
    <w:styleLink w:val="18PT--11AAaa"/>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26" w15:restartNumberingAfterBreak="0">
    <w:nsid w:val="50324DF7"/>
    <w:multiLevelType w:val="multilevel"/>
    <w:tmpl w:val="6890EBE8"/>
    <w:styleLink w:val="18PT--11AA"/>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27" w15:restartNumberingAfterBreak="0">
    <w:nsid w:val="508262A7"/>
    <w:multiLevelType w:val="multilevel"/>
    <w:tmpl w:val="FA6A3BC2"/>
    <w:styleLink w:val="Numbering41"/>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28" w15:restartNumberingAfterBreak="0">
    <w:nsid w:val="512F46CE"/>
    <w:multiLevelType w:val="multilevel"/>
    <w:tmpl w:val="36C216C4"/>
    <w:styleLink w:val="12PT--11AAa"/>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29" w15:restartNumberingAfterBreak="0">
    <w:nsid w:val="53B34A35"/>
    <w:multiLevelType w:val="multilevel"/>
    <w:tmpl w:val="419436E4"/>
    <w:styleLink w:val="18PT--11AAaa0"/>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30" w15:restartNumberingAfterBreak="0">
    <w:nsid w:val="56316EA5"/>
    <w:multiLevelType w:val="multilevel"/>
    <w:tmpl w:val="02721142"/>
    <w:styleLink w:val="16PT--11AA"/>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31" w15:restartNumberingAfterBreak="0">
    <w:nsid w:val="56721896"/>
    <w:multiLevelType w:val="multilevel"/>
    <w:tmpl w:val="D166F122"/>
    <w:styleLink w:val="12PT--11AA"/>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32" w15:restartNumberingAfterBreak="0">
    <w:nsid w:val="579D6B7B"/>
    <w:multiLevelType w:val="multilevel"/>
    <w:tmpl w:val="4F9C96C8"/>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94D3328"/>
    <w:multiLevelType w:val="multilevel"/>
    <w:tmpl w:val="8ED624A6"/>
    <w:styleLink w:val="14PT--11AA1"/>
    <w:lvl w:ilvl="0">
      <w:start w:val="1"/>
      <w:numFmt w:val="decimal"/>
      <w:lvlText w:val="%1."/>
      <w:lvlJc w:val="left"/>
    </w:lvl>
    <w:lvl w:ilvl="1">
      <w:start w:val="1"/>
      <w:numFmt w:val="decimal"/>
      <w:lvlText w:val="(%2)"/>
      <w:lvlJc w:val="left"/>
    </w:lvl>
    <w:lvl w:ilvl="2">
      <w:start w:val="1"/>
      <w:numFmt w:val="decimalEnclosedCircle"/>
      <w:lvlText w:val="%3"/>
      <w:lvlJc w:val="left"/>
    </w:lvl>
    <w:lvl w:ilvl="3">
      <w:start w:val="1"/>
      <w:numFmt w:val="upperLetter"/>
      <w:lvlText w:val="%4."/>
      <w:lvlJc w:val="left"/>
    </w:lvl>
    <w:lvl w:ilvl="4">
      <w:start w:val="1"/>
      <w:numFmt w:val="upperLetter"/>
      <w:lvlText w:val="(%5)"/>
      <w:lvlJc w:val="left"/>
    </w:lvl>
    <w:lvl w:ilvl="5">
      <w:start w:val="1"/>
      <w:numFmt w:val="none"/>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F3F4BA0"/>
    <w:multiLevelType w:val="multilevel"/>
    <w:tmpl w:val="DF823580"/>
    <w:styleLink w:val="14PT--1AAa"/>
    <w:lvl w:ilvl="0">
      <w:start w:val="1"/>
      <w:numFmt w:val="decimal"/>
      <w:lvlText w:val="(%1)"/>
      <w:lvlJc w:val="left"/>
    </w:lvl>
    <w:lvl w:ilvl="1">
      <w:start w:val="1"/>
      <w:numFmt w:val="decimalEnclosedCircle"/>
      <w:lvlText w:val="%2"/>
      <w:lvlJc w:val="left"/>
    </w:lvl>
    <w:lvl w:ilvl="2">
      <w:start w:val="1"/>
      <w:numFmt w:val="upperLetter"/>
      <w:lvlText w:val="%3."/>
      <w:lvlJc w:val="left"/>
    </w:lvl>
    <w:lvl w:ilvl="3">
      <w:start w:val="1"/>
      <w:numFmt w:val="upperLetter"/>
      <w:lvlText w:val="(%4)"/>
      <w:lvlJc w:val="left"/>
    </w:lvl>
    <w:lvl w:ilvl="4">
      <w:start w:val="1"/>
      <w:numFmt w:val="none"/>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35" w15:restartNumberingAfterBreak="0">
    <w:nsid w:val="60F61AF6"/>
    <w:multiLevelType w:val="multilevel"/>
    <w:tmpl w:val="F768D3F8"/>
    <w:styleLink w:val="18PT--11AA0"/>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36" w15:restartNumberingAfterBreak="0">
    <w:nsid w:val="6290736A"/>
    <w:multiLevelType w:val="multilevel"/>
    <w:tmpl w:val="D012D2F0"/>
    <w:styleLink w:val="14PT--1AAaaa-1"/>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decimal"/>
      <w:lvlText w:val="(%1.%2.%3.%4.%5.%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99F428D"/>
    <w:multiLevelType w:val="multilevel"/>
    <w:tmpl w:val="A6E419AC"/>
    <w:styleLink w:val="16PT--11AA0"/>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 %7."/>
      <w:lvlJc w:val="left"/>
      <w:rPr>
        <w:sz w:val="32"/>
      </w:rPr>
    </w:lvl>
    <w:lvl w:ilvl="7">
      <w:start w:val="1"/>
      <w:numFmt w:val="decimal"/>
      <w:lvlText w:val=" %8."/>
      <w:lvlJc w:val="left"/>
      <w:rPr>
        <w:sz w:val="32"/>
      </w:rPr>
    </w:lvl>
    <w:lvl w:ilvl="8">
      <w:start w:val="1"/>
      <w:numFmt w:val="decimal"/>
      <w:lvlText w:val=" %9."/>
      <w:lvlJc w:val="left"/>
      <w:rPr>
        <w:sz w:val="32"/>
      </w:rPr>
    </w:lvl>
  </w:abstractNum>
  <w:abstractNum w:abstractNumId="38" w15:restartNumberingAfterBreak="0">
    <w:nsid w:val="6A592B4C"/>
    <w:multiLevelType w:val="multilevel"/>
    <w:tmpl w:val="72B89082"/>
    <w:styleLink w:val="14PT--11AAa0"/>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39" w15:restartNumberingAfterBreak="0">
    <w:nsid w:val="6CA41EEA"/>
    <w:multiLevelType w:val="multilevel"/>
    <w:tmpl w:val="412C9BFC"/>
    <w:styleLink w:val="14PT--11AAaa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40" w15:restartNumberingAfterBreak="0">
    <w:nsid w:val="6CE30045"/>
    <w:multiLevelType w:val="multilevel"/>
    <w:tmpl w:val="1EBA4AE4"/>
    <w:styleLink w:val="12PT--11AAa0"/>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41" w15:restartNumberingAfterBreak="0">
    <w:nsid w:val="74AE0F2A"/>
    <w:multiLevelType w:val="multilevel"/>
    <w:tmpl w:val="0802A078"/>
    <w:styleLink w:val="List3"/>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2" w15:restartNumberingAfterBreak="0">
    <w:nsid w:val="76306EF7"/>
    <w:multiLevelType w:val="multilevel"/>
    <w:tmpl w:val="8F52BFAA"/>
    <w:styleLink w:val="12PT--11A0"/>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ideographLegalTraditional"/>
      <w:lvlText w:val="%7、"/>
      <w:lvlJc w:val="left"/>
      <w:rPr>
        <w:sz w:val="24"/>
      </w:rPr>
    </w:lvl>
    <w:lvl w:ilvl="7">
      <w:start w:val="1"/>
      <w:numFmt w:val="ideographLegalTraditional"/>
      <w:lvlText w:val="%8、"/>
      <w:lvlJc w:val="left"/>
      <w:rPr>
        <w:sz w:val="24"/>
      </w:rPr>
    </w:lvl>
    <w:lvl w:ilvl="8">
      <w:start w:val="1"/>
      <w:numFmt w:val="ideographLegalTraditional"/>
      <w:lvlText w:val="%9、"/>
      <w:lvlJc w:val="left"/>
      <w:rPr>
        <w:sz w:val="24"/>
      </w:rPr>
    </w:lvl>
  </w:abstractNum>
  <w:abstractNum w:abstractNumId="43" w15:restartNumberingAfterBreak="0">
    <w:nsid w:val="77623B1C"/>
    <w:multiLevelType w:val="multilevel"/>
    <w:tmpl w:val="B61A8E5A"/>
    <w:styleLink w:val="Numbering3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44" w15:restartNumberingAfterBreak="0">
    <w:nsid w:val="7B373AA6"/>
    <w:multiLevelType w:val="multilevel"/>
    <w:tmpl w:val="8054A34A"/>
    <w:styleLink w:val="Numbering2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45" w15:restartNumberingAfterBreak="0">
    <w:nsid w:val="7D3C322E"/>
    <w:multiLevelType w:val="multilevel"/>
    <w:tmpl w:val="AFB09FEC"/>
    <w:styleLink w:val="12PT--11AA0"/>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num w:numId="1">
    <w:abstractNumId w:val="4"/>
  </w:num>
  <w:num w:numId="2">
    <w:abstractNumId w:val="41"/>
  </w:num>
  <w:num w:numId="3">
    <w:abstractNumId w:val="24"/>
  </w:num>
  <w:num w:numId="4">
    <w:abstractNumId w:val="15"/>
  </w:num>
  <w:num w:numId="5">
    <w:abstractNumId w:val="32"/>
  </w:num>
  <w:num w:numId="6">
    <w:abstractNumId w:val="44"/>
  </w:num>
  <w:num w:numId="7">
    <w:abstractNumId w:val="43"/>
  </w:num>
  <w:num w:numId="8">
    <w:abstractNumId w:val="27"/>
  </w:num>
  <w:num w:numId="9">
    <w:abstractNumId w:val="1"/>
  </w:num>
  <w:num w:numId="10">
    <w:abstractNumId w:val="6"/>
  </w:num>
  <w:num w:numId="11">
    <w:abstractNumId w:val="45"/>
  </w:num>
  <w:num w:numId="12">
    <w:abstractNumId w:val="37"/>
  </w:num>
  <w:num w:numId="13">
    <w:abstractNumId w:val="3"/>
  </w:num>
  <w:num w:numId="14">
    <w:abstractNumId w:val="23"/>
  </w:num>
  <w:num w:numId="15">
    <w:abstractNumId w:val="39"/>
  </w:num>
  <w:num w:numId="16">
    <w:abstractNumId w:val="34"/>
  </w:num>
  <w:num w:numId="17">
    <w:abstractNumId w:val="40"/>
  </w:num>
  <w:num w:numId="18">
    <w:abstractNumId w:val="22"/>
  </w:num>
  <w:num w:numId="19">
    <w:abstractNumId w:val="14"/>
  </w:num>
  <w:num w:numId="20">
    <w:abstractNumId w:val="13"/>
  </w:num>
  <w:num w:numId="21">
    <w:abstractNumId w:val="12"/>
  </w:num>
  <w:num w:numId="22">
    <w:abstractNumId w:val="5"/>
  </w:num>
  <w:num w:numId="23">
    <w:abstractNumId w:val="33"/>
  </w:num>
  <w:num w:numId="24">
    <w:abstractNumId w:val="8"/>
  </w:num>
  <w:num w:numId="25">
    <w:abstractNumId w:val="21"/>
  </w:num>
  <w:num w:numId="26">
    <w:abstractNumId w:val="42"/>
  </w:num>
  <w:num w:numId="27">
    <w:abstractNumId w:val="18"/>
  </w:num>
  <w:num w:numId="28">
    <w:abstractNumId w:val="28"/>
  </w:num>
  <w:num w:numId="29">
    <w:abstractNumId w:val="31"/>
  </w:num>
  <w:num w:numId="30">
    <w:abstractNumId w:val="16"/>
  </w:num>
  <w:num w:numId="31">
    <w:abstractNumId w:val="36"/>
  </w:num>
  <w:num w:numId="32">
    <w:abstractNumId w:val="38"/>
  </w:num>
  <w:num w:numId="33">
    <w:abstractNumId w:val="9"/>
  </w:num>
  <w:num w:numId="34">
    <w:abstractNumId w:val="7"/>
  </w:num>
  <w:num w:numId="35">
    <w:abstractNumId w:val="10"/>
  </w:num>
  <w:num w:numId="36">
    <w:abstractNumId w:val="0"/>
  </w:num>
  <w:num w:numId="37">
    <w:abstractNumId w:val="30"/>
  </w:num>
  <w:num w:numId="38">
    <w:abstractNumId w:val="17"/>
  </w:num>
  <w:num w:numId="39">
    <w:abstractNumId w:val="25"/>
  </w:num>
  <w:num w:numId="40">
    <w:abstractNumId w:val="29"/>
  </w:num>
  <w:num w:numId="41">
    <w:abstractNumId w:val="2"/>
  </w:num>
  <w:num w:numId="42">
    <w:abstractNumId w:val="11"/>
  </w:num>
  <w:num w:numId="43">
    <w:abstractNumId w:val="26"/>
  </w:num>
  <w:num w:numId="44">
    <w:abstractNumId w:val="35"/>
  </w:num>
  <w:num w:numId="45">
    <w:abstractNumId w:val="1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D4E8F"/>
    <w:rsid w:val="000137DB"/>
    <w:rsid w:val="00197E94"/>
    <w:rsid w:val="00FD4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EDDA"/>
  <w15:docId w15:val="{E87141F1-8D0F-474C-8729-4E746A0D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Heading"/>
    <w:next w:val="Textbody"/>
    <w:uiPriority w:val="9"/>
    <w:qFormat/>
    <w:pPr>
      <w:outlineLvl w:val="0"/>
    </w:pPr>
    <w:rPr>
      <w:sz w:val="32"/>
    </w:rPr>
  </w:style>
  <w:style w:type="paragraph" w:styleId="2">
    <w:name w:val="heading 2"/>
    <w:basedOn w:val="Heading"/>
    <w:next w:val="Textbody"/>
    <w:uiPriority w:val="9"/>
    <w:semiHidden/>
    <w:unhideWhenUsed/>
    <w:qFormat/>
    <w:pPr>
      <w:outlineLvl w:val="1"/>
    </w:pPr>
    <w:rPr>
      <w:sz w:val="32"/>
    </w:rPr>
  </w:style>
  <w:style w:type="paragraph" w:styleId="3">
    <w:name w:val="heading 3"/>
    <w:basedOn w:val="Heading"/>
    <w:next w:val="Textbody"/>
    <w:uiPriority w:val="9"/>
    <w:semiHidden/>
    <w:unhideWhenUsed/>
    <w:qFormat/>
    <w:pPr>
      <w:outlineLvl w:val="2"/>
    </w:pPr>
    <w:rPr>
      <w:sz w:val="32"/>
    </w:rPr>
  </w:style>
  <w:style w:type="paragraph" w:styleId="4">
    <w:name w:val="heading 4"/>
    <w:basedOn w:val="Heading"/>
    <w:next w:val="Textbody"/>
    <w:uiPriority w:val="9"/>
    <w:semiHidden/>
    <w:unhideWhenUsed/>
    <w:qFormat/>
    <w:pPr>
      <w:outlineLvl w:val="3"/>
    </w:pPr>
    <w:rPr>
      <w:iCs/>
      <w:sz w:val="32"/>
    </w:rPr>
  </w:style>
  <w:style w:type="paragraph" w:styleId="5">
    <w:name w:val="heading 5"/>
    <w:basedOn w:val="Heading"/>
    <w:next w:val="Textbody"/>
    <w:uiPriority w:val="9"/>
    <w:semiHidden/>
    <w:unhideWhenUsed/>
    <w:qFormat/>
    <w:pPr>
      <w:outlineLvl w:val="4"/>
    </w:pPr>
    <w:rPr>
      <w:sz w:val="32"/>
    </w:rPr>
  </w:style>
  <w:style w:type="paragraph" w:styleId="6">
    <w:name w:val="heading 6"/>
    <w:basedOn w:val="Heading"/>
    <w:next w:val="Textbody"/>
    <w:uiPriority w:val="9"/>
    <w:semiHidden/>
    <w:unhideWhenUsed/>
    <w:qFormat/>
    <w:pPr>
      <w:outlineLvl w:val="5"/>
    </w:pPr>
    <w:rPr>
      <w:iCs/>
      <w:sz w:val="32"/>
    </w:rPr>
  </w:style>
  <w:style w:type="paragraph" w:styleId="7">
    <w:name w:val="heading 7"/>
    <w:basedOn w:val="Heading"/>
    <w:next w:val="Textbody"/>
    <w:pPr>
      <w:spacing w:before="60" w:after="60"/>
      <w:outlineLvl w:val="6"/>
    </w:pPr>
  </w:style>
  <w:style w:type="paragraph" w:styleId="8">
    <w:name w:val="heading 8"/>
    <w:basedOn w:val="Heading"/>
    <w:next w:val="Textbody"/>
    <w:pPr>
      <w:spacing w:before="60" w:after="60"/>
      <w:outlineLvl w:val="7"/>
    </w:pPr>
    <w:rPr>
      <w:i/>
      <w:iCs/>
    </w:rPr>
  </w:style>
  <w:style w:type="paragraph" w:styleId="9">
    <w:name w:val="heading 9"/>
    <w:basedOn w:val="Heading"/>
    <w:next w:val="Textbody"/>
    <w:pPr>
      <w:spacing w:before="6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jc w:val="center"/>
    </w:pPr>
    <w:rPr>
      <w:bCs/>
      <w:sz w:val="56"/>
      <w:szCs w:val="56"/>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Subtitle"/>
    <w:basedOn w:val="Heading"/>
    <w:next w:val="Textbody"/>
    <w:uiPriority w:val="11"/>
    <w:qFormat/>
    <w:pPr>
      <w:spacing w:before="60" w:after="120"/>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left="0"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left="0"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left="0"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left="0"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left="0"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left="0"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left="0"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left="0"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pPr>
    <w:rPr>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6">
    <w:name w:val="index heading"/>
    <w:basedOn w:val="Heading"/>
    <w:pPr>
      <w:suppressLineNumbers/>
    </w:pPr>
    <w:rPr>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sz w:val="32"/>
      <w:szCs w:val="32"/>
    </w:rPr>
  </w:style>
  <w:style w:type="paragraph" w:styleId="a7">
    <w:name w:val="Salutation"/>
    <w:basedOn w:val="Standard"/>
    <w:pPr>
      <w:suppressLineNumbers/>
    </w:pPr>
  </w:style>
  <w:style w:type="paragraph" w:styleId="a8">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9">
    <w:name w:val="footer"/>
    <w:basedOn w:val="Standard"/>
    <w:pPr>
      <w:suppressLineNumbers/>
      <w:tabs>
        <w:tab w:val="center" w:pos="4819"/>
        <w:tab w:val="right" w:pos="9638"/>
      </w:tabs>
      <w:jc w:val="center"/>
    </w:pPr>
    <w:rPr>
      <w:sz w:val="24"/>
    </w:rPr>
  </w:style>
  <w:style w:type="paragraph" w:styleId="aa">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pPr>
    <w:rPr>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style>
  <w:style w:type="paragraph" w:styleId="ab">
    <w:name w:val="List Paragraph"/>
    <w:basedOn w:val="Textbody"/>
    <w:pPr>
      <w:suppressAutoHyphens w:val="0"/>
      <w:ind w:left="480"/>
      <w:textAlignment w:val="auto"/>
    </w:pPr>
    <w:rPr>
      <w:rFonts w:ascii="Calibri" w:eastAsia="新細明體" w:hAnsi="Calibri" w:cs="Times New Roman"/>
      <w:sz w:val="24"/>
      <w:szCs w:val="22"/>
      <w:lang w:bidi="ar-SA"/>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List2">
    <w:name w:val="List 2"/>
    <w:basedOn w:val="a2"/>
    <w:pPr>
      <w:numPr>
        <w:numId w:val="1"/>
      </w:numPr>
    </w:pPr>
  </w:style>
  <w:style w:type="numbering" w:customStyle="1" w:styleId="List3">
    <w:name w:val="List 3"/>
    <w:basedOn w:val="a2"/>
    <w:pPr>
      <w:numPr>
        <w:numId w:val="2"/>
      </w:numPr>
    </w:pPr>
  </w:style>
  <w:style w:type="numbering" w:customStyle="1" w:styleId="List4">
    <w:name w:val="List 4"/>
    <w:basedOn w:val="a2"/>
    <w:pPr>
      <w:numPr>
        <w:numId w:val="3"/>
      </w:numPr>
    </w:pPr>
  </w:style>
  <w:style w:type="numbering" w:customStyle="1" w:styleId="List5">
    <w:name w:val="List 5"/>
    <w:basedOn w:val="a2"/>
    <w:pPr>
      <w:numPr>
        <w:numId w:val="4"/>
      </w:numPr>
    </w:pPr>
  </w:style>
  <w:style w:type="numbering" w:customStyle="1" w:styleId="Numbering11">
    <w:name w:val="Numbering 1_1"/>
    <w:basedOn w:val="a2"/>
    <w:pPr>
      <w:numPr>
        <w:numId w:val="5"/>
      </w:numPr>
    </w:pPr>
  </w:style>
  <w:style w:type="numbering" w:customStyle="1" w:styleId="Numbering21">
    <w:name w:val="Numbering 2_1"/>
    <w:basedOn w:val="a2"/>
    <w:pPr>
      <w:numPr>
        <w:numId w:val="6"/>
      </w:numPr>
    </w:pPr>
  </w:style>
  <w:style w:type="numbering" w:customStyle="1" w:styleId="Numbering31">
    <w:name w:val="Numbering 3_1"/>
    <w:basedOn w:val="a2"/>
    <w:pPr>
      <w:numPr>
        <w:numId w:val="7"/>
      </w:numPr>
    </w:pPr>
  </w:style>
  <w:style w:type="numbering" w:customStyle="1" w:styleId="Numbering41">
    <w:name w:val="Numbering 4_1"/>
    <w:basedOn w:val="a2"/>
    <w:pPr>
      <w:numPr>
        <w:numId w:val="8"/>
      </w:numPr>
    </w:pPr>
  </w:style>
  <w:style w:type="numbering" w:customStyle="1" w:styleId="Numbering51">
    <w:name w:val="Numbering 5_1"/>
    <w:basedOn w:val="a2"/>
    <w:pPr>
      <w:numPr>
        <w:numId w:val="9"/>
      </w:numPr>
    </w:pPr>
  </w:style>
  <w:style w:type="numbering" w:customStyle="1" w:styleId="List11">
    <w:name w:val="List 1_1"/>
    <w:basedOn w:val="a2"/>
    <w:pPr>
      <w:numPr>
        <w:numId w:val="10"/>
      </w:numPr>
    </w:pPr>
  </w:style>
  <w:style w:type="numbering" w:customStyle="1" w:styleId="12PT--11AA0">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0">
    <w:name w:val="編號12PT -- (一)  1、 (1)  A、 (A)  a、"/>
    <w:basedOn w:val="a2"/>
    <w:pPr>
      <w:numPr>
        <w:numId w:val="17"/>
      </w:numPr>
    </w:pPr>
  </w:style>
  <w:style w:type="numbering" w:customStyle="1" w:styleId="16PT--11AAa0">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0">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0">
    <w:name w:val="編號14PT -- 一、  (一)   1.   (1)   A.   (A)"/>
    <w:basedOn w:val="a2"/>
    <w:pPr>
      <w:numPr>
        <w:numId w:val="33"/>
      </w:numPr>
    </w:pPr>
  </w:style>
  <w:style w:type="numbering" w:customStyle="1" w:styleId="14PT--11A">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
    <w:name w:val="編號18PT -- 1、  (1)   A、  (A)   a、 (a)"/>
    <w:basedOn w:val="a2"/>
    <w:pPr>
      <w:numPr>
        <w:numId w:val="39"/>
      </w:numPr>
    </w:pPr>
  </w:style>
  <w:style w:type="numbering" w:customStyle="1" w:styleId="18PT--11AAaa0">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swrit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Template>
  <TotalTime>1</TotalTime>
  <Pages>2</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王鈴雅</dc:creator>
  <cp:lastModifiedBy>彥宇 林</cp:lastModifiedBy>
  <cp:revision>2</cp:revision>
  <cp:lastPrinted>2020-06-19T13:51:00Z</cp:lastPrinted>
  <dcterms:created xsi:type="dcterms:W3CDTF">2021-09-22T16:43:00Z</dcterms:created>
  <dcterms:modified xsi:type="dcterms:W3CDTF">2021-09-22T16:43:00Z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